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eastAsia="zh-CN"/>
        </w:rPr>
        <w:t>附件</w:t>
      </w:r>
      <w:r>
        <w:rPr>
          <w:rFonts w:hint="eastAsia" w:ascii="仿宋_GB2312" w:hAnsi="仿宋_GB2312" w:eastAsia="仿宋_GB2312" w:cs="仿宋_GB2312"/>
          <w:b/>
          <w:bCs/>
          <w:color w:val="000000"/>
          <w:sz w:val="28"/>
          <w:szCs w:val="28"/>
          <w:lang w:val="en-US" w:eastAsia="zh-CN"/>
        </w:rPr>
        <w:t>1</w:t>
      </w:r>
    </w:p>
    <w:p>
      <w:pPr>
        <w:spacing w:line="579" w:lineRule="exact"/>
        <w:rPr>
          <w:rFonts w:hint="eastAsia" w:hAnsi="黑体" w:eastAsia="黑体"/>
          <w:szCs w:val="32"/>
        </w:rPr>
      </w:pPr>
      <w:r>
        <w:rPr>
          <w:rFonts w:hint="eastAsia" w:hAnsi="黑体" w:eastAsia="黑体"/>
          <w:szCs w:val="32"/>
          <w:lang w:eastAsia="zh-CN"/>
        </w:rPr>
        <w:t>一、手术室自动更衣系统维护服务采购项目要求</w:t>
      </w:r>
    </w:p>
    <w:p>
      <w:pPr>
        <w:numPr>
          <w:ilvl w:val="0"/>
          <w:numId w:val="1"/>
        </w:numPr>
        <w:spacing w:line="580" w:lineRule="exact"/>
      </w:pPr>
      <w:r>
        <w:rPr>
          <w:rFonts w:hint="eastAsia" w:ascii="黑体" w:hAnsi="黑体" w:eastAsia="黑体"/>
          <w:sz w:val="32"/>
          <w:szCs w:val="32"/>
        </w:rPr>
        <w:t>设备参数一览表</w:t>
      </w:r>
    </w:p>
    <w:tbl>
      <w:tblPr>
        <w:tblStyle w:val="5"/>
        <w:tblW w:w="9437" w:type="dxa"/>
        <w:tblInd w:w="113" w:type="dxa"/>
        <w:tblLayout w:type="fixed"/>
        <w:tblCellMar>
          <w:top w:w="0" w:type="dxa"/>
          <w:left w:w="108" w:type="dxa"/>
          <w:bottom w:w="0" w:type="dxa"/>
          <w:right w:w="108" w:type="dxa"/>
        </w:tblCellMar>
      </w:tblPr>
      <w:tblGrid>
        <w:gridCol w:w="890"/>
        <w:gridCol w:w="1500"/>
        <w:gridCol w:w="930"/>
        <w:gridCol w:w="2765"/>
        <w:gridCol w:w="925"/>
        <w:gridCol w:w="2427"/>
      </w:tblGrid>
      <w:tr>
        <w:tblPrEx>
          <w:tblCellMar>
            <w:top w:w="0" w:type="dxa"/>
            <w:left w:w="108" w:type="dxa"/>
            <w:bottom w:w="0" w:type="dxa"/>
            <w:right w:w="108" w:type="dxa"/>
          </w:tblCellMar>
        </w:tblPrEx>
        <w:trPr>
          <w:trHeight w:val="448" w:hRule="atLeast"/>
        </w:trPr>
        <w:tc>
          <w:tcPr>
            <w:tcW w:w="8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运维分类</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运维设备</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数量</w:t>
            </w:r>
          </w:p>
        </w:tc>
        <w:tc>
          <w:tcPr>
            <w:tcW w:w="276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配件明细</w:t>
            </w:r>
          </w:p>
        </w:tc>
        <w:tc>
          <w:tcPr>
            <w:tcW w:w="92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数量</w:t>
            </w:r>
          </w:p>
        </w:tc>
        <w:tc>
          <w:tcPr>
            <w:tcW w:w="24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功能描述</w:t>
            </w:r>
          </w:p>
        </w:tc>
      </w:tr>
      <w:tr>
        <w:tblPrEx>
          <w:tblCellMar>
            <w:top w:w="0" w:type="dxa"/>
            <w:left w:w="108" w:type="dxa"/>
            <w:bottom w:w="0" w:type="dxa"/>
            <w:right w:w="108" w:type="dxa"/>
          </w:tblCellMar>
        </w:tblPrEx>
        <w:trPr>
          <w:trHeight w:val="448" w:hRule="atLeast"/>
        </w:trPr>
        <w:tc>
          <w:tcPr>
            <w:tcW w:w="890"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改造内容</w:t>
            </w:r>
          </w:p>
        </w:tc>
        <w:tc>
          <w:tcPr>
            <w:tcW w:w="1500"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智能发衣机</w:t>
            </w:r>
          </w:p>
        </w:tc>
        <w:tc>
          <w:tcPr>
            <w:tcW w:w="93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4台</w:t>
            </w: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PLC</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底层控制</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伺服驱动系统</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8</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精确定位</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交流、直流吸合器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强弱电入口</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电源</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稳定电压波动</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感应开关</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16</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信号输出</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工控操作平台</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上位机应用程序运行平台</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19寸显示屏</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显示</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混合读卡器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支持多协议方式读卡</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弹簧线</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信号输入输出集线束</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漏电保护器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强电入口</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空气开关</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强电入口</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金属键盘</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数字输入</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智能回收机</w:t>
            </w:r>
          </w:p>
        </w:tc>
        <w:tc>
          <w:tcPr>
            <w:tcW w:w="930"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4台</w:t>
            </w: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驱动器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8</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底层控制</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电机</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8</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指令控制</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电源</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稳定电压波动</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限位开关</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16</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信号输出</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光幕开关</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8</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信号输出</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工控操作平台</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上位机应用程序运行平台</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19寸显示屏</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显示</w:t>
            </w:r>
          </w:p>
        </w:tc>
      </w:tr>
      <w:tr>
        <w:tblPrEx>
          <w:tblCellMar>
            <w:top w:w="0" w:type="dxa"/>
            <w:left w:w="108" w:type="dxa"/>
            <w:bottom w:w="0" w:type="dxa"/>
            <w:right w:w="108" w:type="dxa"/>
          </w:tblCellMar>
        </w:tblPrEx>
        <w:trPr>
          <w:trHeight w:val="886"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混合读卡器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支持多协议方式读卡</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漏电保护器</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强电入口</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空气开关</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强电入口</w:t>
            </w:r>
          </w:p>
        </w:tc>
      </w:tr>
      <w:tr>
        <w:tblPrEx>
          <w:tblCellMar>
            <w:top w:w="0" w:type="dxa"/>
            <w:left w:w="108" w:type="dxa"/>
            <w:bottom w:w="0" w:type="dxa"/>
            <w:right w:w="108" w:type="dxa"/>
          </w:tblCellMar>
        </w:tblPrEx>
        <w:trPr>
          <w:trHeight w:val="448" w:hRule="atLeast"/>
        </w:trPr>
        <w:tc>
          <w:tcPr>
            <w:tcW w:w="89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276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金属键盘</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4</w:t>
            </w:r>
          </w:p>
        </w:tc>
        <w:tc>
          <w:tcPr>
            <w:tcW w:w="242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数字输入</w:t>
            </w:r>
          </w:p>
        </w:tc>
      </w:tr>
      <w:tr>
        <w:tblPrEx>
          <w:tblCellMar>
            <w:top w:w="0" w:type="dxa"/>
            <w:left w:w="108" w:type="dxa"/>
            <w:bottom w:w="0" w:type="dxa"/>
            <w:right w:w="108" w:type="dxa"/>
          </w:tblCellMar>
        </w:tblPrEx>
        <w:trPr>
          <w:trHeight w:val="886" w:hRule="atLeast"/>
        </w:trPr>
        <w:tc>
          <w:tcPr>
            <w:tcW w:w="8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维修内容</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衣鞋柜</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56台</w:t>
            </w:r>
          </w:p>
        </w:tc>
        <w:tc>
          <w:tcPr>
            <w:tcW w:w="276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智能衣柜、鞋柜</w:t>
            </w:r>
          </w:p>
        </w:tc>
        <w:tc>
          <w:tcPr>
            <w:tcW w:w="92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1272</w:t>
            </w:r>
          </w:p>
        </w:tc>
        <w:tc>
          <w:tcPr>
            <w:tcW w:w="24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存放工作人员衣服和鞋</w:t>
            </w:r>
          </w:p>
        </w:tc>
      </w:tr>
      <w:tr>
        <w:tblPrEx>
          <w:tblCellMar>
            <w:top w:w="0" w:type="dxa"/>
            <w:left w:w="108" w:type="dxa"/>
            <w:bottom w:w="0" w:type="dxa"/>
            <w:right w:w="108" w:type="dxa"/>
          </w:tblCellMar>
        </w:tblPrEx>
        <w:trPr>
          <w:trHeight w:val="886" w:hRule="atLeast"/>
        </w:trPr>
        <w:tc>
          <w:tcPr>
            <w:tcW w:w="89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门禁系统</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1套</w:t>
            </w:r>
          </w:p>
        </w:tc>
        <w:tc>
          <w:tcPr>
            <w:tcW w:w="276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二次更鞋门禁系统</w:t>
            </w:r>
          </w:p>
        </w:tc>
        <w:tc>
          <w:tcPr>
            <w:tcW w:w="92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w:t>
            </w:r>
          </w:p>
        </w:tc>
        <w:tc>
          <w:tcPr>
            <w:tcW w:w="24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对进入洁净区工作人员进行控制</w:t>
            </w:r>
          </w:p>
        </w:tc>
      </w:tr>
      <w:tr>
        <w:tblPrEx>
          <w:tblCellMar>
            <w:top w:w="0" w:type="dxa"/>
            <w:left w:w="108" w:type="dxa"/>
            <w:bottom w:w="0" w:type="dxa"/>
            <w:right w:w="108" w:type="dxa"/>
          </w:tblCellMar>
        </w:tblPrEx>
        <w:trPr>
          <w:trHeight w:val="886" w:hRule="atLeast"/>
        </w:trPr>
        <w:tc>
          <w:tcPr>
            <w:tcW w:w="89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9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1套</w:t>
            </w:r>
          </w:p>
        </w:tc>
        <w:tc>
          <w:tcPr>
            <w:tcW w:w="276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护士站门禁系统</w:t>
            </w:r>
          </w:p>
        </w:tc>
        <w:tc>
          <w:tcPr>
            <w:tcW w:w="92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w:t>
            </w:r>
          </w:p>
        </w:tc>
        <w:tc>
          <w:tcPr>
            <w:tcW w:w="24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控制人员进入手术室</w:t>
            </w:r>
          </w:p>
        </w:tc>
      </w:tr>
      <w:tr>
        <w:tblPrEx>
          <w:tblCellMar>
            <w:top w:w="0" w:type="dxa"/>
            <w:left w:w="108" w:type="dxa"/>
            <w:bottom w:w="0" w:type="dxa"/>
            <w:right w:w="108" w:type="dxa"/>
          </w:tblCellMar>
        </w:tblPrEx>
        <w:trPr>
          <w:trHeight w:val="886" w:hRule="atLeast"/>
        </w:trPr>
        <w:tc>
          <w:tcPr>
            <w:tcW w:w="89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可视化平台</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1套</w:t>
            </w:r>
          </w:p>
        </w:tc>
        <w:tc>
          <w:tcPr>
            <w:tcW w:w="276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信息发布软件</w:t>
            </w:r>
          </w:p>
        </w:tc>
        <w:tc>
          <w:tcPr>
            <w:tcW w:w="92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3</w:t>
            </w:r>
          </w:p>
        </w:tc>
        <w:tc>
          <w:tcPr>
            <w:tcW w:w="24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手术排班、手术衣、手术鞋节点展示</w:t>
            </w:r>
          </w:p>
        </w:tc>
      </w:tr>
      <w:tr>
        <w:tblPrEx>
          <w:tblCellMar>
            <w:top w:w="0" w:type="dxa"/>
            <w:left w:w="108" w:type="dxa"/>
            <w:bottom w:w="0" w:type="dxa"/>
            <w:right w:w="108" w:type="dxa"/>
          </w:tblCellMar>
        </w:tblPrEx>
        <w:trPr>
          <w:trHeight w:val="886" w:hRule="atLeast"/>
        </w:trPr>
        <w:tc>
          <w:tcPr>
            <w:tcW w:w="890"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cs="宋体"/>
                <w:color w:val="000000"/>
                <w:kern w:val="0"/>
                <w:sz w:val="24"/>
              </w:rPr>
            </w:pPr>
            <w:r>
              <w:rPr>
                <w:rFonts w:hint="eastAsia" w:ascii="仿宋" w:hAnsi="仿宋" w:eastAsia="仿宋" w:cs="宋体"/>
                <w:color w:val="000000"/>
                <w:kern w:val="0"/>
                <w:sz w:val="24"/>
              </w:rPr>
              <w:t>其它要求</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65" w:after="65"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部署服务</w:t>
            </w:r>
          </w:p>
        </w:tc>
        <w:tc>
          <w:tcPr>
            <w:tcW w:w="7047" w:type="dxa"/>
            <w:gridSpan w:val="4"/>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r>
              <w:rPr>
                <w:rFonts w:hint="eastAsia" w:ascii="仿宋" w:hAnsi="仿宋" w:eastAsia="仿宋" w:cs="宋体"/>
                <w:color w:val="000000"/>
                <w:kern w:val="0"/>
                <w:sz w:val="24"/>
              </w:rPr>
              <w:t>根据现阶段医院场景，对新购置设备提供上线部署及数据迁移服务。</w:t>
            </w:r>
          </w:p>
        </w:tc>
      </w:tr>
      <w:tr>
        <w:tblPrEx>
          <w:tblCellMar>
            <w:top w:w="0" w:type="dxa"/>
            <w:left w:w="108" w:type="dxa"/>
            <w:bottom w:w="0" w:type="dxa"/>
            <w:right w:w="108" w:type="dxa"/>
          </w:tblCellMar>
        </w:tblPrEx>
        <w:trPr>
          <w:trHeight w:val="886" w:hRule="atLeast"/>
        </w:trPr>
        <w:tc>
          <w:tcPr>
            <w:tcW w:w="890"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65" w:after="65"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运维服务</w:t>
            </w:r>
          </w:p>
        </w:tc>
        <w:tc>
          <w:tcPr>
            <w:tcW w:w="7047" w:type="dxa"/>
            <w:gridSpan w:val="4"/>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r>
              <w:rPr>
                <w:rFonts w:hint="eastAsia" w:ascii="仿宋" w:hAnsi="仿宋" w:eastAsia="仿宋" w:cs="宋体"/>
                <w:color w:val="000000"/>
                <w:kern w:val="0"/>
                <w:sz w:val="24"/>
              </w:rPr>
              <w:t>在维保期内，按季度提交相关维护报告。（提供完整运维方案，并加盖公章）</w:t>
            </w:r>
          </w:p>
        </w:tc>
      </w:tr>
      <w:tr>
        <w:tblPrEx>
          <w:tblCellMar>
            <w:top w:w="0" w:type="dxa"/>
            <w:left w:w="108" w:type="dxa"/>
            <w:bottom w:w="0" w:type="dxa"/>
            <w:right w:w="108" w:type="dxa"/>
          </w:tblCellMar>
        </w:tblPrEx>
        <w:trPr>
          <w:trHeight w:val="886" w:hRule="atLeast"/>
        </w:trPr>
        <w:tc>
          <w:tcPr>
            <w:tcW w:w="890"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65" w:after="65" w:line="360" w:lineRule="exact"/>
              <w:jc w:val="center"/>
              <w:textAlignment w:val="auto"/>
              <w:rPr>
                <w:rFonts w:hint="eastAsia" w:ascii="仿宋" w:hAnsi="仿宋" w:eastAsia="仿宋" w:cs="宋体"/>
                <w:color w:val="000000"/>
                <w:kern w:val="0"/>
                <w:sz w:val="24"/>
              </w:rPr>
            </w:pPr>
            <w:r>
              <w:rPr>
                <w:rFonts w:hint="eastAsia" w:ascii="仿宋" w:hAnsi="仿宋" w:eastAsia="仿宋" w:cs="宋体"/>
                <w:color w:val="000000"/>
                <w:kern w:val="0"/>
                <w:sz w:val="24"/>
              </w:rPr>
              <w:t>培训服务</w:t>
            </w:r>
          </w:p>
        </w:tc>
        <w:tc>
          <w:tcPr>
            <w:tcW w:w="7047" w:type="dxa"/>
            <w:gridSpan w:val="4"/>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r>
              <w:rPr>
                <w:rFonts w:hint="eastAsia" w:ascii="仿宋" w:hAnsi="仿宋" w:eastAsia="仿宋" w:cs="宋体"/>
                <w:color w:val="000000"/>
                <w:kern w:val="0"/>
                <w:sz w:val="24"/>
              </w:rPr>
              <w:t>免费提供3天以上，最终用户</w:t>
            </w:r>
            <w:r>
              <w:rPr>
                <w:rFonts w:ascii="仿宋" w:hAnsi="仿宋" w:eastAsia="仿宋" w:cs="宋体"/>
                <w:color w:val="000000"/>
                <w:kern w:val="0"/>
                <w:sz w:val="24"/>
              </w:rPr>
              <w:t>10</w:t>
            </w:r>
            <w:r>
              <w:rPr>
                <w:rFonts w:hint="eastAsia" w:ascii="仿宋" w:hAnsi="仿宋" w:eastAsia="仿宋" w:cs="宋体"/>
                <w:color w:val="000000"/>
                <w:kern w:val="0"/>
                <w:sz w:val="24"/>
              </w:rPr>
              <w:t>人次以上的专业技术培训，直至甲方技术人员能够独立操作。</w:t>
            </w:r>
          </w:p>
        </w:tc>
      </w:tr>
      <w:tr>
        <w:tblPrEx>
          <w:tblCellMar>
            <w:top w:w="0" w:type="dxa"/>
            <w:left w:w="108" w:type="dxa"/>
            <w:bottom w:w="0" w:type="dxa"/>
            <w:right w:w="108" w:type="dxa"/>
          </w:tblCellMar>
        </w:tblPrEx>
        <w:trPr>
          <w:trHeight w:val="1028" w:hRule="atLeast"/>
        </w:trPr>
        <w:tc>
          <w:tcPr>
            <w:tcW w:w="890"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 w:hAnsi="仿宋" w:eastAsia="仿宋" w:cs="宋体"/>
                <w:color w:val="000000"/>
                <w:kern w:val="0"/>
                <w:sz w:val="24"/>
              </w:rPr>
            </w:pPr>
          </w:p>
        </w:tc>
        <w:tc>
          <w:tcPr>
            <w:tcW w:w="15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65" w:after="65" w:line="360" w:lineRule="exact"/>
              <w:jc w:val="center"/>
              <w:textAlignment w:val="auto"/>
              <w:rPr>
                <w:rFonts w:ascii="仿宋" w:hAnsi="仿宋" w:eastAsia="仿宋" w:cs="宋体"/>
                <w:color w:val="000000"/>
                <w:kern w:val="0"/>
                <w:sz w:val="24"/>
              </w:rPr>
            </w:pPr>
            <w:r>
              <w:rPr>
                <w:rFonts w:hint="eastAsia" w:ascii="仿宋" w:hAnsi="仿宋" w:eastAsia="仿宋" w:cs="宋体"/>
                <w:color w:val="000000"/>
                <w:kern w:val="0"/>
                <w:sz w:val="24"/>
              </w:rPr>
              <w:t>配套辅材</w:t>
            </w:r>
          </w:p>
        </w:tc>
        <w:tc>
          <w:tcPr>
            <w:tcW w:w="7047" w:type="dxa"/>
            <w:gridSpan w:val="4"/>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kinsoku/>
              <w:wordWrap/>
              <w:overflowPunct/>
              <w:topLinePunct w:val="0"/>
              <w:autoSpaceDE/>
              <w:autoSpaceDN/>
              <w:bidi w:val="0"/>
              <w:adjustRightInd/>
              <w:snapToGrid/>
              <w:spacing w:before="65" w:after="65" w:line="360" w:lineRule="exact"/>
              <w:jc w:val="left"/>
              <w:textAlignment w:val="auto"/>
              <w:rPr>
                <w:rFonts w:ascii="仿宋" w:hAnsi="仿宋" w:eastAsia="仿宋" w:cs="宋体"/>
                <w:color w:val="000000"/>
                <w:kern w:val="0"/>
                <w:sz w:val="24"/>
              </w:rPr>
            </w:pPr>
            <w:r>
              <w:rPr>
                <w:rFonts w:hint="eastAsia" w:ascii="仿宋" w:hAnsi="仿宋" w:eastAsia="仿宋" w:cs="宋体"/>
                <w:color w:val="000000"/>
                <w:kern w:val="0"/>
                <w:sz w:val="24"/>
              </w:rPr>
              <w:t>项目实施过程中所涉及的各类线缆及模块，实施过程中对项目涉及所有各类基础布线进行梳理，打好标签。</w:t>
            </w:r>
          </w:p>
        </w:tc>
      </w:tr>
    </w:tbl>
    <w:p>
      <w:pPr>
        <w:keepNext w:val="0"/>
        <w:keepLines w:val="0"/>
        <w:pageBreakBefore w:val="0"/>
        <w:numPr>
          <w:ilvl w:val="0"/>
          <w:numId w:val="2"/>
        </w:numPr>
        <w:kinsoku/>
        <w:wordWrap/>
        <w:overflowPunct/>
        <w:topLinePunct w:val="0"/>
        <w:bidi w:val="0"/>
        <w:snapToGrid/>
        <w:spacing w:line="579"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建设要求</w:t>
      </w:r>
    </w:p>
    <w:p>
      <w:pPr>
        <w:keepNext w:val="0"/>
        <w:keepLines w:val="0"/>
        <w:pageBreakBefore w:val="0"/>
        <w:kinsoku/>
        <w:wordWrap/>
        <w:overflowPunct/>
        <w:topLinePunct w:val="0"/>
        <w:bidi w:val="0"/>
        <w:snapToGrid/>
        <w:spacing w:line="579" w:lineRule="exact"/>
        <w:ind w:firstLine="600" w:firstLineChars="200"/>
        <w:jc w:val="left"/>
        <w:textAlignment w:val="auto"/>
        <w:rPr>
          <w:rFonts w:hint="eastAsia" w:ascii="黑体" w:hAnsi="黑体" w:eastAsia="黑体" w:cs="仿宋_GB2312"/>
          <w:sz w:val="30"/>
          <w:szCs w:val="30"/>
          <w:lang w:eastAsia="zh-Hans"/>
        </w:rPr>
      </w:pPr>
      <w:r>
        <w:rPr>
          <w:rFonts w:hint="eastAsia" w:ascii="黑体" w:hAnsi="黑体" w:eastAsia="黑体" w:cs="仿宋_GB2312"/>
          <w:sz w:val="30"/>
          <w:szCs w:val="30"/>
          <w:lang w:eastAsia="zh-Hans"/>
        </w:rPr>
        <w:t>1</w:t>
      </w:r>
      <w:r>
        <w:rPr>
          <w:rFonts w:hint="eastAsia" w:ascii="黑体" w:hAnsi="黑体" w:eastAsia="黑体" w:cs="仿宋_GB2312"/>
          <w:sz w:val="30"/>
          <w:szCs w:val="30"/>
        </w:rPr>
        <w:t>.</w:t>
      </w:r>
      <w:r>
        <w:rPr>
          <w:rFonts w:hint="eastAsia" w:ascii="黑体" w:hAnsi="黑体" w:eastAsia="黑体" w:cs="仿宋_GB2312"/>
          <w:sz w:val="30"/>
          <w:szCs w:val="30"/>
          <w:lang w:eastAsia="zh-Hans"/>
        </w:rPr>
        <w:t>建设需求</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本项目将对医院现有系统的智能发衣机、智能收衣机进行改造，对二次门禁系统、智能衣柜、鞋柜、可视化平台等所有软硬件部件进行维修升级。</w:t>
      </w:r>
    </w:p>
    <w:p>
      <w:pPr>
        <w:keepNext w:val="0"/>
        <w:keepLines w:val="0"/>
        <w:pageBreakBefore w:val="0"/>
        <w:kinsoku/>
        <w:wordWrap/>
        <w:overflowPunct/>
        <w:topLinePunct w:val="0"/>
        <w:bidi w:val="0"/>
        <w:snapToGrid/>
        <w:spacing w:line="579" w:lineRule="exact"/>
        <w:ind w:firstLine="600" w:firstLineChars="200"/>
        <w:jc w:val="left"/>
        <w:textAlignment w:val="auto"/>
        <w:rPr>
          <w:rFonts w:hint="eastAsia" w:ascii="黑体" w:hAnsi="黑体" w:eastAsia="黑体" w:cs="仿宋_GB2312"/>
          <w:sz w:val="30"/>
          <w:szCs w:val="30"/>
          <w:lang w:eastAsia="zh-Hans"/>
        </w:rPr>
      </w:pPr>
      <w:r>
        <w:rPr>
          <w:rFonts w:hint="eastAsia" w:ascii="黑体" w:hAnsi="黑体" w:eastAsia="黑体" w:cs="仿宋_GB2312"/>
          <w:sz w:val="30"/>
          <w:szCs w:val="30"/>
          <w:lang w:eastAsia="zh-Hans"/>
        </w:rPr>
        <w:t>2</w:t>
      </w:r>
      <w:r>
        <w:rPr>
          <w:rFonts w:hint="eastAsia" w:ascii="黑体" w:hAnsi="黑体" w:eastAsia="黑体" w:cs="仿宋_GB2312"/>
          <w:sz w:val="30"/>
          <w:szCs w:val="30"/>
        </w:rPr>
        <w:t>.</w:t>
      </w:r>
      <w:r>
        <w:rPr>
          <w:rFonts w:hint="eastAsia" w:ascii="黑体" w:hAnsi="黑体" w:eastAsia="黑体" w:cs="仿宋_GB2312"/>
          <w:sz w:val="30"/>
          <w:szCs w:val="30"/>
          <w:lang w:eastAsia="zh-Hans"/>
        </w:rPr>
        <w:t>运维目标</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手术自动更衣系统维护服务项目，旨在对我院手术室自动更衣系统各类软硬件设备、操作系统、数据库及全院网络进行定期巡检、日常优化、应急运维和技术支撑，并能够及时掌握系统运行状况和配置信息，为各业务系统提供一个可知可控的良好运行环境，从而保证整个信息化系统的稳定、可靠、高效、持续、安全运行。本次系统维护服务项目主要目标包括以下几点：</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（1）改造手术室自动更衣系统核心设备。</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（2）保障手术室自动更衣系统各类硬件的稳定运行。</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（3）保障手术室自动更衣系统各业务平台操作系统及数据库的稳定运行。</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（4）对系统所涉及所有基础布线进行梳理并打好标签。</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（5）对易损易耗件进行本地备件。</w:t>
      </w:r>
    </w:p>
    <w:p>
      <w:pPr>
        <w:keepNext w:val="0"/>
        <w:keepLines w:val="0"/>
        <w:pageBreakBefore w:val="0"/>
        <w:widowControl/>
        <w:kinsoku/>
        <w:wordWrap/>
        <w:overflowPunct/>
        <w:topLinePunct w:val="0"/>
        <w:bidi w:val="0"/>
        <w:snapToGrid/>
        <w:spacing w:line="579" w:lineRule="exact"/>
        <w:ind w:firstLine="588" w:firstLineChars="196"/>
        <w:jc w:val="left"/>
        <w:textAlignment w:val="auto"/>
        <w:rPr>
          <w:rFonts w:hint="eastAsia" w:ascii="黑体" w:hAnsi="黑体" w:eastAsia="黑体" w:cs="仿宋_GB2312"/>
          <w:sz w:val="30"/>
          <w:szCs w:val="30"/>
          <w:lang w:eastAsia="zh-Hans"/>
        </w:rPr>
      </w:pPr>
      <w:r>
        <w:rPr>
          <w:rFonts w:hint="eastAsia" w:ascii="黑体" w:hAnsi="黑体" w:eastAsia="黑体" w:cs="仿宋_GB2312"/>
          <w:sz w:val="30"/>
          <w:szCs w:val="30"/>
          <w:lang w:eastAsia="zh-Hans"/>
        </w:rPr>
        <w:t>3.改造内容</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本次改造内容主要将所有设备老化配件（包括基础线路）全部更换为新配件，改造后新的控制端，完全兼容现有上位机程序。更换零件以入场包装及跟使用科室确认的换明细报告为准。同时在满足现有科室业务功能基础上，对软件部分原有旧程序进行全面升级或更换，同时能够根据科室工作需求对程序进行个性化开发，降低故障率。</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1、发衣机</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一套全流程智能化的手术室自助服务系统，刷卡式操作，按尺码自动发放新的手术服，良好的人机操作界面。可对于手术衣按尺码大、中、小号类别进行综合的管理，手术衣置入标签管理，手术衣标签的变更与信息的更新维护。可针对标签的不同类别进行注册、可针对标签进行分组管理，可变更标签的类别及状态信息。在自助发衣机上刷经系统授权的IC卡，能够自动或手动的选择大、中、小号手术衣类型从发衣机领取含RFID芯片的对应持卡人尺码的手术衣。领取手术衣的同时自动进行IC卡与手术衣的关联登记并上传服务器。系统检测到发衣机中某尺码的衣服库存数量低于阀值（可自定义）时，在管理系统中弹出提醒信息框，提醒工作人员及时添加衣物的类别及数量。</w:t>
      </w:r>
      <w:bookmarkStart w:id="0" w:name="_Toc14461"/>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bookmarkStart w:id="1" w:name="_Toc30772"/>
      <w:r>
        <w:rPr>
          <w:rFonts w:hint="eastAsia" w:ascii="仿宋_GB2312" w:hAnsi="仿宋" w:eastAsia="仿宋_GB2312"/>
          <w:sz w:val="32"/>
          <w:szCs w:val="32"/>
          <w:lang w:eastAsia="zh-Hans"/>
        </w:rPr>
        <w:t>2、回收机</w:t>
      </w:r>
      <w:bookmarkEnd w:id="0"/>
      <w:bookmarkEnd w:id="1"/>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医护人员术后更衣回收时，将污衣投放入RFID手术衣回收设备的回收篮里，回收设备自动感应读取衣服上的RFID信息确认回收，同时上传数据到服务器，系统会给出相应提示信息。手术衣自动回收机超量提醒功能：当系统检测到回收机内的污衣数量超过设定的阀值时，管理系统弹出污衣桶满的提醒信息框，提醒工作人员及时清理对应的回收机污衣。</w:t>
      </w:r>
    </w:p>
    <w:p>
      <w:pPr>
        <w:keepNext w:val="0"/>
        <w:keepLines w:val="0"/>
        <w:pageBreakBefore w:val="0"/>
        <w:kinsoku/>
        <w:wordWrap/>
        <w:overflowPunct/>
        <w:topLinePunct w:val="0"/>
        <w:bidi w:val="0"/>
        <w:snapToGrid/>
        <w:spacing w:line="579" w:lineRule="exact"/>
        <w:ind w:firstLine="600" w:firstLineChars="200"/>
        <w:jc w:val="left"/>
        <w:textAlignment w:val="auto"/>
        <w:rPr>
          <w:rFonts w:hint="eastAsia" w:ascii="黑体" w:hAnsi="黑体" w:eastAsia="黑体" w:cs="仿宋_GB2312"/>
          <w:sz w:val="30"/>
          <w:szCs w:val="30"/>
          <w:lang w:eastAsia="zh-Hans"/>
        </w:rPr>
      </w:pPr>
      <w:r>
        <w:rPr>
          <w:rFonts w:hint="eastAsia" w:ascii="黑体" w:hAnsi="黑体" w:eastAsia="黑体" w:cs="仿宋_GB2312"/>
          <w:sz w:val="30"/>
          <w:szCs w:val="30"/>
          <w:lang w:eastAsia="zh-Hans"/>
        </w:rPr>
        <w:t>4、维修内容</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（1）医院现有二次更鞋区门禁因故障无法使用，需对门禁软硬件全面检修，保证门禁系统正常运行不掉线，无线信号感应灵敏无障碍。</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（2）对所有衣柜鞋柜进行全面检修，更换故障配件，保证所有衣柜鞋柜正常运行。对所有衣柜鞋柜基础布线进行梳理，打好标签。</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（3）除以上主要核心设备以外，要对该系统所涉及的其他所有软硬件进行检修并调试至正常使用。</w:t>
      </w:r>
    </w:p>
    <w:p>
      <w:pPr>
        <w:keepNext w:val="0"/>
        <w:keepLines w:val="0"/>
        <w:pageBreakBefore w:val="0"/>
        <w:tabs>
          <w:tab w:val="left" w:pos="840"/>
          <w:tab w:val="left" w:pos="1080"/>
        </w:tabs>
        <w:kinsoku/>
        <w:wordWrap/>
        <w:overflowPunct/>
        <w:topLinePunct w:val="0"/>
        <w:autoSpaceDE w:val="0"/>
        <w:autoSpaceDN w:val="0"/>
        <w:bidi w:val="0"/>
        <w:adjustRightInd w:val="0"/>
        <w:snapToGrid/>
        <w:spacing w:line="579" w:lineRule="exact"/>
        <w:textAlignment w:val="auto"/>
        <w:outlineLvl w:val="3"/>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其它要求</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eastAsia="zh-Hans"/>
        </w:rPr>
      </w:pPr>
      <w:r>
        <w:rPr>
          <w:rFonts w:hint="eastAsia" w:ascii="仿宋_GB2312" w:hAnsi="仿宋" w:eastAsia="仿宋_GB2312"/>
          <w:sz w:val="32"/>
          <w:szCs w:val="32"/>
          <w:lang w:eastAsia="zh-Hans"/>
        </w:rPr>
        <w:t>交货时要求乙方就所投产品提供产品说明书，甲方有权核实招标要求的产品功能，有权要求乙方对产品的合法供货渠道进行说明。经核实，如乙方所提供产品与招、投标文件中的产品功能不一致，或提供非法渠道的商品，即视为欺诈，为维护甲方合法权益，乙方要承担商品价值双倍的赔偿；同时，依据现行的国家法律法规追究其他责任，并连带追究所投产品制造商的责任。</w:t>
      </w:r>
    </w:p>
    <w:p>
      <w:pPr>
        <w:keepNext w:val="0"/>
        <w:keepLines w:val="0"/>
        <w:pageBreakBefore w:val="0"/>
        <w:kinsoku/>
        <w:wordWrap/>
        <w:overflowPunct/>
        <w:topLinePunct w:val="0"/>
        <w:bidi w:val="0"/>
        <w:snapToGrid/>
        <w:spacing w:line="579" w:lineRule="exact"/>
        <w:ind w:firstLine="320" w:firstLineChars="100"/>
        <w:textAlignment w:val="auto"/>
        <w:rPr>
          <w:rFonts w:eastAsia="黑体"/>
          <w:szCs w:val="32"/>
        </w:rPr>
      </w:pPr>
      <w:r>
        <w:rPr>
          <w:rFonts w:hint="eastAsia" w:hAnsi="黑体" w:eastAsia="黑体"/>
          <w:szCs w:val="32"/>
          <w:lang w:eastAsia="zh-CN"/>
        </w:rPr>
        <w:t>三</w:t>
      </w:r>
      <w:r>
        <w:rPr>
          <w:rFonts w:hAnsi="黑体" w:eastAsia="黑体"/>
          <w:szCs w:val="32"/>
        </w:rPr>
        <w:t>、货款及运杂费结算方式</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(一)货款结算</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乙方中标价即为合同价，合同价包含货款、利润、税金、装卸载费、运杂费、安装费、人员培训费、售后服务费及相应的不可预测风险等一切费用。本项目不付预付款，待所有货物到货验收合格、安装调试完成后一次性支付合同价的95%，剩余5%作为质量保证金，待质保期满后一次性无息退换。</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若后期军队审计部门、军队采购管理部门、纪检监察部门等职能部门抽查，提出价格虚高等问题，乙方需无条件配合甲方进行调查，积极提供相关审价资料，若最终审价结果低于合同价，乙方需无条件退还虚高款项。如最终审价结果高于合同价，按合同价进行结算。</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（二）履约保证金和质量保证金</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中标供应商签订采购合同前，应按合同金额的5%向采购单位提交履约保证金，交付验收合格后，采购单位应退回履约保证金，也可根据项目实际情况转为质量保证金，质量保证金一般在质保期满且无质量问题时全额无息退还。</w:t>
      </w:r>
    </w:p>
    <w:p>
      <w:pPr>
        <w:keepNext w:val="0"/>
        <w:keepLines w:val="0"/>
        <w:pageBreakBefore w:val="0"/>
        <w:kinsoku/>
        <w:wordWrap/>
        <w:overflowPunct/>
        <w:topLinePunct w:val="0"/>
        <w:bidi w:val="0"/>
        <w:snapToGrid/>
        <w:spacing w:line="579" w:lineRule="exact"/>
        <w:textAlignment w:val="auto"/>
        <w:rPr>
          <w:rFonts w:hAnsi="黑体" w:eastAsia="黑体"/>
          <w:szCs w:val="32"/>
        </w:rPr>
      </w:pPr>
      <w:r>
        <w:rPr>
          <w:rFonts w:hint="eastAsia" w:hAnsi="黑体" w:eastAsia="黑体"/>
          <w:szCs w:val="32"/>
          <w:lang w:eastAsia="zh-CN"/>
        </w:rPr>
        <w:t>四</w:t>
      </w:r>
      <w:r>
        <w:rPr>
          <w:rFonts w:hAnsi="黑体" w:eastAsia="黑体"/>
          <w:szCs w:val="32"/>
        </w:rPr>
        <w:t>、</w:t>
      </w:r>
      <w:r>
        <w:rPr>
          <w:rFonts w:hint="eastAsia" w:hAnsi="黑体" w:eastAsia="黑体"/>
          <w:szCs w:val="32"/>
        </w:rPr>
        <w:t>交货期限</w:t>
      </w:r>
      <w:r>
        <w:rPr>
          <w:rFonts w:hAnsi="黑体" w:eastAsia="黑体"/>
          <w:szCs w:val="32"/>
        </w:rPr>
        <w:t>及交货地点</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1.</w:t>
      </w:r>
      <w:r>
        <w:rPr>
          <w:rFonts w:hint="eastAsia" w:ascii="仿宋_GB2312" w:hAnsi="仿宋" w:eastAsia="仿宋_GB2312"/>
          <w:sz w:val="32"/>
          <w:szCs w:val="32"/>
          <w:lang w:eastAsia="zh-CN"/>
        </w:rPr>
        <w:t>服务</w:t>
      </w:r>
      <w:r>
        <w:rPr>
          <w:rFonts w:hint="eastAsia" w:ascii="仿宋_GB2312" w:hAnsi="仿宋" w:eastAsia="仿宋_GB2312"/>
          <w:sz w:val="32"/>
          <w:szCs w:val="32"/>
        </w:rPr>
        <w:t>时间：合同签订后60个自然日内</w:t>
      </w:r>
      <w:r>
        <w:rPr>
          <w:rFonts w:hint="eastAsia" w:ascii="仿宋_GB2312" w:hAnsi="仿宋" w:eastAsia="仿宋_GB2312"/>
          <w:sz w:val="32"/>
          <w:szCs w:val="32"/>
          <w:lang w:eastAsia="zh-CN"/>
        </w:rPr>
        <w:t>。</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服务</w:t>
      </w:r>
      <w:r>
        <w:rPr>
          <w:rFonts w:hint="eastAsia" w:ascii="仿宋_GB2312" w:hAnsi="仿宋" w:eastAsia="仿宋_GB2312"/>
          <w:sz w:val="32"/>
          <w:szCs w:val="32"/>
        </w:rPr>
        <w:t>地点：</w:t>
      </w:r>
      <w:r>
        <w:rPr>
          <w:rFonts w:hint="eastAsia" w:ascii="仿宋_GB2312" w:hAnsi="仿宋" w:eastAsia="仿宋_GB2312"/>
          <w:sz w:val="32"/>
          <w:szCs w:val="32"/>
          <w:lang w:eastAsia="zh-CN"/>
        </w:rPr>
        <w:t>甘肃兰州</w:t>
      </w:r>
      <w:r>
        <w:rPr>
          <w:rFonts w:hint="eastAsia" w:ascii="仿宋_GB2312" w:hAnsi="仿宋" w:eastAsia="仿宋_GB2312"/>
          <w:sz w:val="32"/>
          <w:szCs w:val="32"/>
        </w:rPr>
        <w:t>。</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服务</w:t>
      </w:r>
      <w:r>
        <w:rPr>
          <w:rFonts w:hint="eastAsia" w:ascii="仿宋_GB2312" w:hAnsi="仿宋" w:eastAsia="仿宋_GB2312"/>
          <w:sz w:val="32"/>
          <w:szCs w:val="32"/>
          <w:lang w:val="en-US" w:eastAsia="zh-CN"/>
        </w:rPr>
        <w:t>方式：驻场服务。</w:t>
      </w:r>
    </w:p>
    <w:p>
      <w:pPr>
        <w:keepNext w:val="0"/>
        <w:keepLines w:val="0"/>
        <w:pageBreakBefore w:val="0"/>
        <w:kinsoku/>
        <w:wordWrap/>
        <w:overflowPunct/>
        <w:topLinePunct w:val="0"/>
        <w:bidi w:val="0"/>
        <w:snapToGrid/>
        <w:spacing w:line="579" w:lineRule="exact"/>
        <w:textAlignment w:val="auto"/>
        <w:rPr>
          <w:rFonts w:hint="eastAsia" w:hAnsi="黑体" w:eastAsia="黑体"/>
          <w:szCs w:val="32"/>
          <w:lang w:val="en-US" w:eastAsia="zh-CN"/>
        </w:rPr>
      </w:pPr>
      <w:r>
        <w:rPr>
          <w:rFonts w:hint="eastAsia" w:hAnsi="黑体" w:eastAsia="黑体"/>
          <w:szCs w:val="32"/>
          <w:lang w:val="en-US" w:eastAsia="zh-CN"/>
        </w:rPr>
        <w:t>五</w:t>
      </w:r>
      <w:bookmarkStart w:id="2" w:name="_GoBack"/>
      <w:bookmarkEnd w:id="2"/>
      <w:r>
        <w:rPr>
          <w:rFonts w:hint="eastAsia" w:hAnsi="黑体" w:eastAsia="黑体"/>
          <w:szCs w:val="32"/>
          <w:lang w:val="en-US" w:eastAsia="zh-CN"/>
        </w:rPr>
        <w:t>、</w:t>
      </w:r>
      <w:r>
        <w:rPr>
          <w:rFonts w:hint="eastAsia" w:ascii="黑体" w:hAnsi="黑体" w:eastAsia="黑体"/>
          <w:sz w:val="32"/>
          <w:szCs w:val="32"/>
        </w:rPr>
        <w:t>质保期及售后服务</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1.质保期及售后服务时间：自项目验收通过之日起3年，所涉及软硬件均需提供3年原厂质保服务，含7*24小时标准服务。</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投标人或产品制造商在当地应有长期稳定的服务机构，能够提供与投标人或产品制造商相关服务网点营业执照或租赁合同或合作协议的相关证明材料。质保期内应保证7x24小时故障响应，半小时内抵达现场，应做到随时全程跟踪故障的响应、处理和解决。要求原厂工程师进行项目实施，并提供相关证明材料。</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3.投标人对提供的货物在质保期内，因产品质量而导致的缺陷，必须免费提供维修、更换等服务。</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4.投标人须在“三包”范围内无偿提供该货物的技术支持。</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5.投标人须派驻现场运维工程师1名。在响应型驻场服务的基础上增加日常维护工作，缩短故障响应和业务恢复时间。日常运维工作还包含网络及设备梳理、配置管理、工程支持、应急预案编写与验证等。可提交驻场服务工单、日常运维服务报告、重大事件服务报告、安全分析报告等报告文件。驻场人员在质保期内定期进行维修保养，并提供维修保养计划实施方案。</w:t>
      </w:r>
    </w:p>
    <w:p>
      <w:pPr>
        <w:keepNext w:val="0"/>
        <w:keepLines w:val="0"/>
        <w:pageBreakBefore w:val="0"/>
        <w:kinsoku/>
        <w:wordWrap/>
        <w:overflowPunct/>
        <w:topLinePunct w:val="0"/>
        <w:bidi w:val="0"/>
        <w:snapToGrid/>
        <w:spacing w:line="579"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6. 提供现场故障响应服务，协助进行现场故障诊断及现场故障排除，解决问题后，给出专业的原因解释，出具专业的故障分析报告。在特殊时间段如节假日、敏感时期、系统割接、重大任务等时间段内提供特殊保障服务。在运维期内，由驻场人员现场监控设备和网络运行情况，并在保障期内提供24小时电话支持和远程故障恢复支持服务。</w:t>
      </w:r>
    </w:p>
    <w:p>
      <w:pPr>
        <w:pStyle w:val="2"/>
        <w:rPr>
          <w:rFonts w:hint="default"/>
          <w:lang w:val="en-US" w:eastAsia="zh-CN"/>
        </w:rPr>
      </w:pPr>
    </w:p>
    <w:sectPr>
      <w:headerReference r:id="rId3" w:type="default"/>
      <w:pgSz w:w="11906" w:h="16838"/>
      <w:pgMar w:top="1080" w:right="1440" w:bottom="108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C7EB9"/>
    <w:multiLevelType w:val="singleLevel"/>
    <w:tmpl w:val="DB3C7EB9"/>
    <w:lvl w:ilvl="0" w:tentative="0">
      <w:start w:val="2"/>
      <w:numFmt w:val="chineseCounting"/>
      <w:lvlText w:val="(%1)"/>
      <w:lvlJc w:val="left"/>
      <w:pPr>
        <w:tabs>
          <w:tab w:val="left" w:pos="312"/>
        </w:tabs>
      </w:pPr>
      <w:rPr>
        <w:rFonts w:hint="eastAsia"/>
      </w:rPr>
    </w:lvl>
  </w:abstractNum>
  <w:abstractNum w:abstractNumId="1">
    <w:nsid w:val="795B5820"/>
    <w:multiLevelType w:val="multilevel"/>
    <w:tmpl w:val="795B5820"/>
    <w:lvl w:ilvl="0" w:tentative="0">
      <w:start w:val="1"/>
      <w:numFmt w:val="japaneseCounting"/>
      <w:lvlText w:val="(%1)"/>
      <w:lvlJc w:val="left"/>
      <w:pPr>
        <w:ind w:left="1285" w:hanging="64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5DE"/>
    <w:rsid w:val="000418EC"/>
    <w:rsid w:val="00147D0A"/>
    <w:rsid w:val="003654A4"/>
    <w:rsid w:val="003B0394"/>
    <w:rsid w:val="005F3236"/>
    <w:rsid w:val="007405DE"/>
    <w:rsid w:val="00950714"/>
    <w:rsid w:val="00A06E09"/>
    <w:rsid w:val="00B214E7"/>
    <w:rsid w:val="00C747F8"/>
    <w:rsid w:val="00DC6548"/>
    <w:rsid w:val="00F41243"/>
    <w:rsid w:val="00F4127E"/>
    <w:rsid w:val="01283A67"/>
    <w:rsid w:val="03706A4D"/>
    <w:rsid w:val="069B1A7F"/>
    <w:rsid w:val="0FAC15CD"/>
    <w:rsid w:val="338C3150"/>
    <w:rsid w:val="5A405187"/>
    <w:rsid w:val="66F62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eastAsia="宋体"/>
      <w:sz w:val="21"/>
      <w:szCs w:val="2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41"/>
    <w:basedOn w:val="6"/>
    <w:qFormat/>
    <w:uiPriority w:val="0"/>
    <w:rPr>
      <w:rFonts w:hint="eastAsia" w:ascii="宋体" w:hAnsi="宋体" w:eastAsia="宋体" w:cs="宋体"/>
      <w:color w:val="000000"/>
      <w:sz w:val="22"/>
      <w:szCs w:val="22"/>
      <w:u w:val="none"/>
    </w:rPr>
  </w:style>
  <w:style w:type="character" w:customStyle="1" w:styleId="8">
    <w:name w:val="font61"/>
    <w:basedOn w:val="6"/>
    <w:qFormat/>
    <w:uiPriority w:val="0"/>
    <w:rPr>
      <w:rFonts w:hint="eastAsia" w:ascii="宋体" w:hAnsi="宋体" w:eastAsia="宋体" w:cs="宋体"/>
      <w:color w:val="000000"/>
      <w:sz w:val="20"/>
      <w:szCs w:val="20"/>
      <w:u w:val="none"/>
    </w:rPr>
  </w:style>
  <w:style w:type="character" w:customStyle="1" w:styleId="9">
    <w:name w:val="页眉 Char"/>
    <w:basedOn w:val="6"/>
    <w:link w:val="4"/>
    <w:qFormat/>
    <w:uiPriority w:val="99"/>
    <w:rPr>
      <w:rFonts w:ascii="Times New Roman" w:hAnsi="Times New Roman" w:eastAsia="仿宋_GB2312" w:cs="Times New Roman"/>
      <w:sz w:val="18"/>
      <w:szCs w:val="18"/>
    </w:rPr>
  </w:style>
  <w:style w:type="character" w:customStyle="1" w:styleId="10">
    <w:name w:val="页脚 Char"/>
    <w:basedOn w:val="6"/>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502</Words>
  <Characters>2862</Characters>
  <Lines>23</Lines>
  <Paragraphs>6</Paragraphs>
  <TotalTime>7</TotalTime>
  <ScaleCrop>false</ScaleCrop>
  <LinksUpToDate>false</LinksUpToDate>
  <CharactersWithSpaces>3358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2024-03-21T01:08:00Z</dcterms:created>
  <dc:creator>Administrator</dc:creator>
  <cp:lastModifiedBy>Administrator</cp:lastModifiedBy>
  <dcterms:modified xsi:type="dcterms:W3CDTF">2024-04-22T01:42:11Z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